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  <w:lang w:val="sr-RS"/>
        </w:rPr>
        <w:t>Материјали за припрему кандидата за проверу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/>
      </w:pPr>
      <w:hyperlink r:id="rId2">
        <w:r>
          <w:rPr>
            <w:rStyle w:val="InternetLink"/>
            <w:rFonts w:ascii="Times New Roman" w:hAnsi="Times New Roman"/>
            <w:lang w:val="sr-RS"/>
          </w:rPr>
          <w:t>https://kutak.suk.gov.rs/kutak-znanja/rad-i-organizacija-drzavnih-organa-u-ap-i-jls</w:t>
        </w:r>
      </w:hyperlink>
    </w:p>
    <w:p>
      <w:pPr>
        <w:pStyle w:val="Normal"/>
        <w:widowControl w:val="false"/>
        <w:suppressAutoHyphens w:val="true"/>
        <w:jc w:val="both"/>
        <w:rPr/>
      </w:pPr>
      <w:hyperlink r:id="rId3">
        <w:r>
          <w:rPr>
            <w:rStyle w:val="InternetLink"/>
            <w:rFonts w:ascii="Times New Roman" w:hAnsi="Times New Roman"/>
            <w:lang w:val="sr-RS"/>
          </w:rPr>
          <w:t>https://kutak.suk.gov.rs/kutak-znanja/digitalna-pismenost-1</w:t>
        </w:r>
      </w:hyperlink>
    </w:p>
    <w:p>
      <w:pPr>
        <w:pStyle w:val="Normal"/>
        <w:widowControl w:val="false"/>
        <w:suppressAutoHyphens w:val="true"/>
        <w:jc w:val="both"/>
        <w:rPr/>
      </w:pPr>
      <w:hyperlink r:id="rId4">
        <w:r>
          <w:rPr>
            <w:rStyle w:val="InternetLink"/>
            <w:rFonts w:ascii="Times New Roman" w:hAnsi="Times New Roman"/>
            <w:lang w:val="sr-RS"/>
          </w:rPr>
          <w:t>https://kutak.suk.gov.rs/kutak-znanja/poslovna-komunikacija-za-ap-i-jls</w:t>
        </w:r>
      </w:hyperlink>
    </w:p>
    <w:p>
      <w:pPr>
        <w:pStyle w:val="Normal"/>
        <w:widowControl w:val="false"/>
        <w:suppressAutoHyphens w:val="true"/>
        <w:jc w:val="both"/>
        <w:rPr>
          <w:rStyle w:val="InternetLink"/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b/>
          <w:color w:val="000000"/>
          <w:spacing w:val="-14"/>
          <w:sz w:val="22"/>
          <w:lang w:val="sr-RS"/>
        </w:rPr>
        <w:t xml:space="preserve">стручно –оперативни послови – </w:t>
      </w:r>
      <w:r>
        <w:rPr>
          <w:rFonts w:cs="Times New Roman Cyr" w:ascii="Times New Roman Cyr" w:hAnsi="Times New Roman Cyr"/>
          <w:color w:val="000000"/>
          <w:spacing w:val="-14"/>
          <w:sz w:val="22"/>
          <w:lang w:val="sr-RS"/>
        </w:rPr>
        <w:t>методе и</w:t>
      </w:r>
      <w:r>
        <w:rPr>
          <w:b/>
          <w:color w:val="000000"/>
          <w:spacing w:val="-14"/>
          <w:sz w:val="22"/>
          <w:lang w:val="sr-RS"/>
        </w:rPr>
        <w:t xml:space="preserve"> </w:t>
      </w:r>
      <w:r>
        <w:rPr>
          <w:rFonts w:cs="Times New Roman Cyr" w:ascii="Times New Roman Cyr" w:hAnsi="Times New Roman Cyr"/>
          <w:color w:val="000000"/>
          <w:sz w:val="22"/>
          <w:lang w:val="sr-RS"/>
        </w:rPr>
        <w:t xml:space="preserve">технике опсервације, прикупљања и евидентирања података, методе и технике израде извештаја на основу одређених евиденција </w:t>
      </w:r>
      <w:r>
        <w:rPr>
          <w:rFonts w:cs="Calibri" w:ascii="Times New Roman" w:hAnsi="Times New Roman" w:cstheme="minorHAnsi"/>
          <w:color w:val="000000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color w:val="000000"/>
          <w:sz w:val="22"/>
          <w:lang w:val="sr-Latn-RS"/>
        </w:rPr>
        <w:t xml:space="preserve"> </w:t>
      </w:r>
      <w:r>
        <w:rPr>
          <w:lang w:val="sr-RS"/>
        </w:rPr>
        <w:t xml:space="preserve">         </w:t>
      </w:r>
    </w:p>
    <w:p>
      <w:pPr>
        <w:pStyle w:val="Normal"/>
        <w:widowControl w:val="false"/>
        <w:suppressAutoHyphens w:val="true"/>
        <w:jc w:val="both"/>
        <w:rPr/>
      </w:pPr>
      <w:hyperlink r:id="rId5">
        <w:r>
          <w:rPr>
            <w:rStyle w:val="InternetLink"/>
            <w:rFonts w:ascii="Times New Roman" w:hAnsi="Times New Roman"/>
            <w:lang w:val="sr-RS"/>
          </w:rPr>
          <w:t>https://kutak.suk.gov.rs/kutak-znanja/simulacije-zadataka-apjls/strucno-operativni-poslovi-2/pripremi-se</w:t>
        </w:r>
      </w:hyperlink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both"/>
        <w:rPr>
          <w:lang w:val="sr-RS"/>
        </w:rPr>
      </w:pP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rFonts w:cs="Calibri" w:ascii="Times New Roman" w:hAnsi="Times New Roman" w:cstheme="minorHAnsi"/>
          <w:color w:val="000000"/>
          <w:spacing w:val="-14"/>
          <w:sz w:val="22"/>
          <w:lang w:val="ru-RU"/>
        </w:rPr>
        <w:t xml:space="preserve">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ru-RU"/>
        </w:rPr>
        <w:t>Управно правни послови</w:t>
      </w:r>
      <w:r>
        <w:rPr>
          <w:rFonts w:cs="Times New Roman Cyr" w:ascii="Times New Roman" w:hAnsi="Times New Roman"/>
          <w:b/>
          <w:color w:val="000000"/>
          <w:spacing w:val="-14"/>
          <w:sz w:val="22"/>
          <w:lang w:val="sr-RS"/>
        </w:rPr>
        <w:t xml:space="preserve"> – </w:t>
      </w:r>
      <w:r>
        <w:rPr>
          <w:rFonts w:cs="Times New Roman Cyr" w:ascii="Times New Roman" w:hAnsi="Times New Roman"/>
          <w:b w:val="false"/>
          <w:bCs w:val="false"/>
          <w:color w:val="000000"/>
          <w:spacing w:val="-14"/>
          <w:sz w:val="22"/>
          <w:lang w:val="sr-RS"/>
        </w:rPr>
        <w:t xml:space="preserve">Општи управни поступак </w:t>
      </w:r>
      <w:r>
        <w:rPr>
          <w:rFonts w:cs="Calibri" w:ascii="Times New Roman" w:hAnsi="Times New Roman" w:cstheme="minorHAnsi"/>
          <w:b w:val="false"/>
          <w:bCs w:val="false"/>
          <w:color w:val="000000"/>
          <w:spacing w:val="-14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sr-Latn-RS"/>
        </w:rPr>
        <w:t xml:space="preserve"> 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sr-RS"/>
        </w:rPr>
        <w:t xml:space="preserve">  </w:t>
      </w:r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both"/>
        <w:rPr/>
      </w:pPr>
      <w:hyperlink r:id="rId6">
        <w:r>
          <w:rPr>
            <w:rStyle w:val="InternetLink"/>
            <w:rFonts w:ascii="Times New Roman" w:hAnsi="Times New Roman"/>
            <w:b w:val="false"/>
            <w:bCs w:val="false"/>
            <w:lang w:val="sr-RS"/>
          </w:rPr>
          <w:t>https://kutak.suk.gov.rs/kutak-znanja/simulacije-zadataka-apjls/upravno-pravni-poslovi-2/pripremi-se</w:t>
        </w:r>
      </w:hyperlink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240"/>
        <w:ind w:hanging="0"/>
        <w:jc w:val="both"/>
        <w:rPr/>
      </w:pP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 радно место (планска документа, прописи и акта из надлежности и организације органа)- Статут града Пирота  и План развоја града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5983B0"/>
        </w:rPr>
        <w:t xml:space="preserve"> </w:t>
      </w:r>
      <w:hyperlink r:id="rId7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</w:t>
      </w:r>
      <w:hyperlink r:id="rId8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spacing w:lineRule="auto" w:line="240" w:before="0" w:after="240"/>
        <w:ind w:hanging="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hanging="0"/>
        <w:jc w:val="both"/>
        <w:rPr/>
      </w:pPr>
      <w:hyperlink r:id="rId9">
        <w:r>
          <w:rPr>
            <w:rStyle w:val="InternetLink"/>
          </w:rPr>
          <w:t>https://www.paragraf.rs/propisi/zakon_o_ucenickom_i_studentskom_standardu.html</w:t>
        </w:r>
      </w:hyperlink>
    </w:p>
    <w:p>
      <w:pPr>
        <w:pStyle w:val="Normal"/>
        <w:spacing w:lineRule="auto" w:line="240" w:before="0" w:after="240"/>
        <w:ind w:hanging="0"/>
        <w:jc w:val="both"/>
        <w:rPr>
          <w:rFonts w:cs="Calibri" w:cstheme="minorHAnsi"/>
          <w:color w:val="5983B0"/>
          <w:lang w:val="sr-RS"/>
        </w:rPr>
      </w:pPr>
      <w:hyperlink r:id="rId10">
        <w:r>
          <w:rPr>
            <w:rStyle w:val="InternetLink"/>
          </w:rPr>
          <w:t>https://www.pirot.rs/downloads/opstauprava/Odluka%20o%20stipend.%20i%20dr.%20vrstama%20pomo%C4%87i%20i%20stru%C4%8D.%20sa%20ter.%20op%C5%A1.%20Pirot.pdf</w:t>
        </w:r>
      </w:hyperlink>
      <w:r>
        <w:rPr/>
        <w:t xml:space="preserve"> </w:t>
        <w:br/>
        <w:br/>
      </w:r>
      <w:hyperlink r:id="rId11">
        <w:r>
          <w:rPr>
            <w:rStyle w:val="InternetLink"/>
          </w:rPr>
          <w:t>https://www.pirot.rs/downloads/opstauprava/Pravilnik%20o%20dodeli%20jednokratnih%20nov%C4%8Danih%20pomo%C4%87i%20studentima%20i%20stru%C4%8Dnjacima%20sa%20teritorije%20grada%20Pirota%20.pdf</w:t>
        </w:r>
      </w:hyperlink>
      <w:r>
        <w:rPr/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Cy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rad-i-organizacija-drzavnih-organa-u-ap-i-jls" TargetMode="External"/><Relationship Id="rId3" Type="http://schemas.openxmlformats.org/officeDocument/2006/relationships/hyperlink" Target="https://kutak.suk.gov.rs/kutak-znanja/digitalna-pismenost-1" TargetMode="External"/><Relationship Id="rId4" Type="http://schemas.openxmlformats.org/officeDocument/2006/relationships/hyperlink" Target="https://kutak.suk.gov.rs/kutak-znanja/poslovna-komunikacija-za-ap-i-jls" TargetMode="External"/><Relationship Id="rId5" Type="http://schemas.openxmlformats.org/officeDocument/2006/relationships/hyperlink" Target="https://kutak.suk.gov.rs/kutak-znanja/simulacije-zadataka-apjls/strucno-operativni-poslovi-2/pripremi-se" TargetMode="External"/><Relationship Id="rId6" Type="http://schemas.openxmlformats.org/officeDocument/2006/relationships/hyperlink" Target="https://kutak.suk.gov.rs/kutak-znanja/simulacije-zadataka-apjls/upravno-pravni-poslovi-2/pripremi-se" TargetMode="External"/><Relationship Id="rId7" Type="http://schemas.openxmlformats.org/officeDocument/2006/relationships/hyperlink" Target="https://pirot.rs/index.php/dokumenta/statut-opstine-pirot-2" TargetMode="External"/><Relationship Id="rId8" Type="http://schemas.openxmlformats.org/officeDocument/2006/relationships/hyperlink" Target="https://www.pirot.rs/index.php/8-cirilica/4927-izrada-plana-razvoja-grada-pirota-za-period-2021-2028-godine-2" TargetMode="External"/><Relationship Id="rId9" Type="http://schemas.openxmlformats.org/officeDocument/2006/relationships/hyperlink" Target="https://www.paragraf.rs/propisi/zakon_o_ucenickom_i_studentskom_standardu.html" TargetMode="External"/><Relationship Id="rId10" Type="http://schemas.openxmlformats.org/officeDocument/2006/relationships/hyperlink" Target="https://www.pirot.rs/downloads/opstauprava/Odluka o stipend. i dr. vrstama pomo&#263;i i stru&#269;. sa ter. op&#353;. Pirot.pdf" TargetMode="External"/><Relationship Id="rId11" Type="http://schemas.openxmlformats.org/officeDocument/2006/relationships/hyperlink" Target="https://www.pirot.rs/downloads/opstauprava/Pravilnik o dodeli jednokratnih nov&#269;anih pomo&#263;i studentima i stru&#269;njacima sa teritorije grada Pirota .pdf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LibreOffice/7.3.2.2$Windows_X86_64 LibreOffice_project/49f2b1bff42cfccbd8f788c8dc32c1c309559be0</Application>
  <AppVersion>15.0000</AppVersion>
  <Pages>1</Pages>
  <Words>135</Words>
  <Characters>1790</Characters>
  <CharactersWithSpaces>1946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2026-02-25T11:43:15Z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